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23" w:rsidRPr="004A6E23" w:rsidRDefault="004A6E23" w:rsidP="004A6E23">
      <w:pPr>
        <w:pStyle w:val="Heading1"/>
        <w:spacing w:before="2" w:after="2"/>
        <w:jc w:val="center"/>
        <w:rPr>
          <w:sz w:val="52"/>
        </w:rPr>
      </w:pPr>
      <w:bookmarkStart w:id="0" w:name="_GoBack"/>
      <w:bookmarkEnd w:id="0"/>
      <w:proofErr w:type="spellStart"/>
      <w:r w:rsidRPr="004A6E23">
        <w:rPr>
          <w:sz w:val="52"/>
        </w:rPr>
        <w:t>Lexile</w:t>
      </w:r>
      <w:proofErr w:type="spellEnd"/>
      <w:r w:rsidRPr="004A6E23">
        <w:rPr>
          <w:sz w:val="52"/>
        </w:rPr>
        <w:t>-to-Grade Correspondence</w:t>
      </w:r>
    </w:p>
    <w:p w:rsidR="004A6E23" w:rsidRDefault="004A6E23" w:rsidP="00033C39">
      <w:pPr>
        <w:spacing w:beforeLines="1" w:before="2" w:afterLines="1" w:after="2"/>
        <w:outlineLvl w:val="1"/>
      </w:pPr>
    </w:p>
    <w:p w:rsidR="00BA7899" w:rsidRDefault="004A6E23" w:rsidP="00033C39">
      <w:pPr>
        <w:spacing w:beforeLines="1" w:before="2" w:afterLines="1" w:after="2"/>
        <w:outlineLvl w:val="1"/>
      </w:pPr>
      <w:r>
        <w:t xml:space="preserve">There is no direct correspondence between a specific </w:t>
      </w:r>
      <w:proofErr w:type="spellStart"/>
      <w:r>
        <w:t>Lexile</w:t>
      </w:r>
      <w:proofErr w:type="spellEnd"/>
      <w:r>
        <w:t xml:space="preserve"> measure and a specific grade level. Within any classroom or grade, there will be a range of readers and a range of reading materials. For example, in a fifth-grade classroom there will be some readers who are ahead of the typical reader (about 250L above) and some readers who are behind the typical reader (about 250L below). To say that some books are "just right" for fifth graders assumes that all fifth graders are reading at the same level. The </w:t>
      </w:r>
      <w:proofErr w:type="spellStart"/>
      <w:r>
        <w:t>Lexile</w:t>
      </w:r>
      <w:proofErr w:type="spellEnd"/>
      <w:r>
        <w:rPr>
          <w:vertAlign w:val="superscript"/>
        </w:rPr>
        <w:t>®</w:t>
      </w:r>
      <w:r>
        <w:t xml:space="preserve"> Framework for Reading is intended to match readers with texts at whatever level the reader is reading.</w:t>
      </w:r>
    </w:p>
    <w:p w:rsidR="004A6E23" w:rsidRPr="004A6E23" w:rsidRDefault="004A6E23" w:rsidP="00033C39">
      <w:pPr>
        <w:spacing w:beforeLines="1" w:before="2" w:afterLines="1" w:after="2"/>
        <w:outlineLvl w:val="1"/>
      </w:pPr>
    </w:p>
    <w:p w:rsidR="00BA7899" w:rsidRDefault="004A6E23" w:rsidP="00033C39">
      <w:pPr>
        <w:spacing w:beforeLines="1" w:before="2" w:afterLines="1" w:after="2"/>
        <w:jc w:val="center"/>
        <w:outlineLvl w:val="1"/>
        <w:rPr>
          <w:rFonts w:ascii="Times" w:hAnsi="Times"/>
          <w:b/>
          <w:sz w:val="36"/>
          <w:szCs w:val="20"/>
        </w:rPr>
      </w:pPr>
      <w:r w:rsidRPr="004A6E23">
        <w:rPr>
          <w:rFonts w:ascii="Times" w:hAnsi="Times"/>
          <w:b/>
          <w:sz w:val="36"/>
          <w:szCs w:val="20"/>
        </w:rPr>
        <w:t>Typical Reader Measures, by Grade</w:t>
      </w:r>
    </w:p>
    <w:p w:rsidR="004A6E23" w:rsidRPr="004A6E23" w:rsidRDefault="004A6E23" w:rsidP="00033C39">
      <w:pPr>
        <w:spacing w:beforeLines="1" w:before="2" w:afterLines="1" w:after="2"/>
        <w:jc w:val="center"/>
        <w:outlineLvl w:val="1"/>
        <w:rPr>
          <w:rFonts w:ascii="Times" w:hAnsi="Times"/>
          <w:b/>
          <w:sz w:val="36"/>
          <w:szCs w:val="20"/>
        </w:rPr>
      </w:pPr>
    </w:p>
    <w:tbl>
      <w:tblPr>
        <w:tblW w:w="0" w:type="auto"/>
        <w:tblCellSpacing w:w="0" w:type="dxa"/>
        <w:tblCellMar>
          <w:top w:w="100" w:type="dxa"/>
          <w:left w:w="100" w:type="dxa"/>
          <w:bottom w:w="100" w:type="dxa"/>
          <w:right w:w="100" w:type="dxa"/>
        </w:tblCellMar>
        <w:tblLook w:val="0000" w:firstRow="0" w:lastRow="0" w:firstColumn="0" w:lastColumn="0" w:noHBand="0" w:noVBand="0"/>
      </w:tblPr>
      <w:tblGrid>
        <w:gridCol w:w="989"/>
        <w:gridCol w:w="3372"/>
      </w:tblGrid>
      <w:tr w:rsidR="004A6E23" w:rsidRPr="004A6E23">
        <w:trPr>
          <w:tblCellSpacing w:w="0" w:type="dxa"/>
        </w:trPr>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Grade</w:t>
            </w:r>
          </w:p>
        </w:tc>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Reader Measures, Mid-Year</w:t>
            </w:r>
            <w:r w:rsidRPr="004A6E23">
              <w:rPr>
                <w:rFonts w:ascii="Times" w:hAnsi="Times"/>
                <w:sz w:val="20"/>
                <w:szCs w:val="20"/>
              </w:rPr>
              <w:br/>
              <w:t>25th percentile to 75th percentile (IQR)</w:t>
            </w:r>
          </w:p>
        </w:tc>
      </w:tr>
      <w:tr w:rsidR="004A6E23" w:rsidRPr="004A6E23">
        <w:trPr>
          <w:tblCellSpacing w:w="0" w:type="dxa"/>
        </w:trPr>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1</w:t>
            </w:r>
          </w:p>
        </w:tc>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Up to 300L</w:t>
            </w:r>
          </w:p>
        </w:tc>
      </w:tr>
      <w:tr w:rsidR="004A6E23" w:rsidRPr="004A6E23">
        <w:trPr>
          <w:tblCellSpacing w:w="0" w:type="dxa"/>
        </w:trPr>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2</w:t>
            </w:r>
          </w:p>
        </w:tc>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140L to 500L</w:t>
            </w:r>
          </w:p>
        </w:tc>
      </w:tr>
      <w:tr w:rsidR="004A6E23" w:rsidRPr="004A6E23">
        <w:trPr>
          <w:tblCellSpacing w:w="0" w:type="dxa"/>
        </w:trPr>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3</w:t>
            </w:r>
          </w:p>
        </w:tc>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330L to 700L</w:t>
            </w:r>
          </w:p>
        </w:tc>
      </w:tr>
      <w:tr w:rsidR="004A6E23" w:rsidRPr="004A6E23">
        <w:trPr>
          <w:tblCellSpacing w:w="0" w:type="dxa"/>
        </w:trPr>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4</w:t>
            </w:r>
          </w:p>
        </w:tc>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445L to 810L</w:t>
            </w:r>
          </w:p>
        </w:tc>
      </w:tr>
      <w:tr w:rsidR="004A6E23" w:rsidRPr="004A6E23">
        <w:trPr>
          <w:tblCellSpacing w:w="0" w:type="dxa"/>
        </w:trPr>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5</w:t>
            </w:r>
          </w:p>
        </w:tc>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565L to 910L</w:t>
            </w:r>
          </w:p>
        </w:tc>
      </w:tr>
      <w:tr w:rsidR="004A6E23" w:rsidRPr="004A6E23">
        <w:trPr>
          <w:tblCellSpacing w:w="0" w:type="dxa"/>
        </w:trPr>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6</w:t>
            </w:r>
          </w:p>
        </w:tc>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665L to 1000L</w:t>
            </w:r>
          </w:p>
        </w:tc>
      </w:tr>
      <w:tr w:rsidR="004A6E23" w:rsidRPr="004A6E23">
        <w:trPr>
          <w:tblCellSpacing w:w="0" w:type="dxa"/>
        </w:trPr>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7</w:t>
            </w:r>
          </w:p>
        </w:tc>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735L to 1065L</w:t>
            </w:r>
          </w:p>
        </w:tc>
      </w:tr>
      <w:tr w:rsidR="004A6E23" w:rsidRPr="004A6E23">
        <w:trPr>
          <w:tblCellSpacing w:w="0" w:type="dxa"/>
        </w:trPr>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8</w:t>
            </w:r>
          </w:p>
        </w:tc>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805L to 1100L</w:t>
            </w:r>
          </w:p>
        </w:tc>
      </w:tr>
      <w:tr w:rsidR="004A6E23" w:rsidRPr="004A6E23">
        <w:trPr>
          <w:tblCellSpacing w:w="0" w:type="dxa"/>
        </w:trPr>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9</w:t>
            </w:r>
          </w:p>
        </w:tc>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855L to 1165L</w:t>
            </w:r>
          </w:p>
        </w:tc>
      </w:tr>
      <w:tr w:rsidR="004A6E23" w:rsidRPr="004A6E23">
        <w:trPr>
          <w:tblCellSpacing w:w="0" w:type="dxa"/>
        </w:trPr>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10</w:t>
            </w:r>
          </w:p>
        </w:tc>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905L to 1195L</w:t>
            </w:r>
          </w:p>
        </w:tc>
      </w:tr>
      <w:tr w:rsidR="004A6E23" w:rsidRPr="004A6E23">
        <w:trPr>
          <w:tblCellSpacing w:w="0" w:type="dxa"/>
        </w:trPr>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11 and 12</w:t>
            </w:r>
          </w:p>
        </w:tc>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940L to 1210L</w:t>
            </w:r>
          </w:p>
        </w:tc>
      </w:tr>
    </w:tbl>
    <w:p w:rsidR="004A6E23" w:rsidRPr="004A6E23" w:rsidRDefault="004A6E23" w:rsidP="00033C39">
      <w:pPr>
        <w:spacing w:beforeLines="1" w:before="2" w:afterLines="1" w:after="2"/>
        <w:rPr>
          <w:rFonts w:ascii="Times" w:hAnsi="Times" w:cs="Times New Roman"/>
          <w:sz w:val="20"/>
          <w:szCs w:val="20"/>
        </w:rPr>
      </w:pPr>
      <w:r w:rsidRPr="004A6E23">
        <w:rPr>
          <w:rFonts w:ascii="Times" w:hAnsi="Times" w:cs="Times New Roman"/>
          <w:sz w:val="20"/>
          <w:szCs w:val="20"/>
        </w:rPr>
        <w:t> </w:t>
      </w:r>
    </w:p>
    <w:p w:rsidR="00BA7899" w:rsidRPr="00BA7899" w:rsidRDefault="004A6E23" w:rsidP="00033C39">
      <w:pPr>
        <w:spacing w:beforeLines="1" w:before="2" w:afterLines="1" w:after="2"/>
        <w:rPr>
          <w:rFonts w:ascii="Times" w:hAnsi="Times" w:cs="Times New Roman"/>
          <w:szCs w:val="20"/>
        </w:rPr>
      </w:pPr>
      <w:r w:rsidRPr="00BA7899">
        <w:rPr>
          <w:rFonts w:ascii="Times" w:hAnsi="Times" w:cs="Times New Roman"/>
          <w:szCs w:val="20"/>
        </w:rPr>
        <w:t>Data for the first column of text measures came from a research study designed to examine collections of textbooks designated for specific grades (</w:t>
      </w:r>
      <w:proofErr w:type="spellStart"/>
      <w:r w:rsidRPr="00BA7899">
        <w:rPr>
          <w:rFonts w:ascii="Times" w:hAnsi="Times" w:cs="Times New Roman"/>
          <w:szCs w:val="20"/>
        </w:rPr>
        <w:t>MetaMetrics</w:t>
      </w:r>
      <w:proofErr w:type="spellEnd"/>
      <w:r w:rsidRPr="00BA7899">
        <w:rPr>
          <w:rFonts w:ascii="Times" w:hAnsi="Times" w:cs="Times New Roman"/>
          <w:szCs w:val="20"/>
        </w:rPr>
        <w:t xml:space="preserve">, 2009). The "stretch" text measures (defined in 2012 through studies related to the development of the </w:t>
      </w:r>
      <w:hyperlink r:id="rId4" w:history="1">
        <w:r w:rsidRPr="00BA7899">
          <w:rPr>
            <w:rFonts w:ascii="Times" w:hAnsi="Times" w:cs="Times New Roman"/>
            <w:color w:val="0000FF"/>
            <w:szCs w:val="20"/>
            <w:u w:val="single"/>
          </w:rPr>
          <w:t>Common Core State Standards for English Language Arts</w:t>
        </w:r>
      </w:hyperlink>
      <w:r w:rsidRPr="00BA7899">
        <w:rPr>
          <w:rFonts w:ascii="Times" w:hAnsi="Times" w:cs="Times New Roman"/>
          <w:szCs w:val="20"/>
        </w:rPr>
        <w:t xml:space="preserve">) in the second column represent the demand of text that students should be reading to be </w:t>
      </w:r>
      <w:hyperlink r:id="rId5" w:history="1">
        <w:r w:rsidRPr="00BA7899">
          <w:rPr>
            <w:rFonts w:ascii="Times" w:hAnsi="Times" w:cs="Times New Roman"/>
            <w:color w:val="0000FF"/>
            <w:szCs w:val="20"/>
            <w:u w:val="single"/>
          </w:rPr>
          <w:t>college and career ready</w:t>
        </w:r>
      </w:hyperlink>
      <w:r w:rsidRPr="00BA7899">
        <w:rPr>
          <w:rFonts w:ascii="Times" w:hAnsi="Times" w:cs="Times New Roman"/>
          <w:szCs w:val="20"/>
        </w:rPr>
        <w:t xml:space="preserve"> by the end of Grade 12. </w:t>
      </w:r>
    </w:p>
    <w:p w:rsidR="00BA7899" w:rsidRPr="00BA7899" w:rsidRDefault="00BA7899" w:rsidP="00033C39">
      <w:pPr>
        <w:spacing w:beforeLines="1" w:before="2" w:afterLines="1" w:after="2"/>
        <w:rPr>
          <w:rFonts w:ascii="Times" w:hAnsi="Times" w:cs="Times New Roman"/>
          <w:szCs w:val="20"/>
        </w:rPr>
      </w:pPr>
    </w:p>
    <w:p w:rsidR="00BA7899" w:rsidRDefault="00BA7899" w:rsidP="00033C39">
      <w:pPr>
        <w:spacing w:beforeLines="1" w:before="2" w:afterLines="1" w:after="2"/>
        <w:rPr>
          <w:rFonts w:ascii="Times" w:hAnsi="Times" w:cs="Times New Roman"/>
          <w:sz w:val="20"/>
          <w:szCs w:val="20"/>
        </w:rPr>
      </w:pPr>
    </w:p>
    <w:p w:rsidR="00BA7899" w:rsidRDefault="00BA7899" w:rsidP="00033C39">
      <w:pPr>
        <w:spacing w:beforeLines="1" w:before="2" w:afterLines="1" w:after="2"/>
        <w:rPr>
          <w:rFonts w:ascii="Times" w:hAnsi="Times" w:cs="Times New Roman"/>
          <w:sz w:val="20"/>
          <w:szCs w:val="20"/>
        </w:rPr>
      </w:pPr>
    </w:p>
    <w:p w:rsidR="00BA7899" w:rsidRDefault="00BA7899" w:rsidP="00033C39">
      <w:pPr>
        <w:spacing w:beforeLines="1" w:before="2" w:afterLines="1" w:after="2"/>
        <w:rPr>
          <w:rFonts w:ascii="Times" w:hAnsi="Times" w:cs="Times New Roman"/>
          <w:sz w:val="20"/>
          <w:szCs w:val="20"/>
        </w:rPr>
      </w:pPr>
    </w:p>
    <w:p w:rsidR="004A6E23" w:rsidRPr="004A6E23" w:rsidRDefault="004A6E23" w:rsidP="00033C39">
      <w:pPr>
        <w:spacing w:beforeLines="1" w:before="2" w:afterLines="1" w:after="2"/>
        <w:jc w:val="center"/>
        <w:rPr>
          <w:rFonts w:ascii="Times" w:hAnsi="Times" w:cs="Times New Roman"/>
          <w:sz w:val="20"/>
          <w:szCs w:val="20"/>
        </w:rPr>
      </w:pPr>
    </w:p>
    <w:p w:rsidR="00BA7899" w:rsidRDefault="004A6E23" w:rsidP="00033C39">
      <w:pPr>
        <w:spacing w:beforeLines="1" w:before="2" w:afterLines="1" w:after="2"/>
        <w:jc w:val="center"/>
        <w:outlineLvl w:val="1"/>
        <w:rPr>
          <w:rFonts w:ascii="Times" w:hAnsi="Times"/>
          <w:b/>
          <w:sz w:val="36"/>
          <w:szCs w:val="20"/>
        </w:rPr>
      </w:pPr>
      <w:r w:rsidRPr="004A6E23">
        <w:rPr>
          <w:rFonts w:ascii="Times" w:hAnsi="Times"/>
          <w:b/>
          <w:sz w:val="36"/>
          <w:szCs w:val="20"/>
        </w:rPr>
        <w:lastRenderedPageBreak/>
        <w:t>Typical Text Measures, by Grade</w:t>
      </w:r>
    </w:p>
    <w:p w:rsidR="004A6E23" w:rsidRPr="004A6E23" w:rsidRDefault="004A6E23" w:rsidP="00033C39">
      <w:pPr>
        <w:spacing w:beforeLines="1" w:before="2" w:afterLines="1" w:after="2"/>
        <w:outlineLvl w:val="1"/>
        <w:rPr>
          <w:rFonts w:ascii="Times" w:hAnsi="Times"/>
          <w:b/>
          <w:sz w:val="36"/>
          <w:szCs w:val="20"/>
        </w:rPr>
      </w:pPr>
    </w:p>
    <w:tbl>
      <w:tblPr>
        <w:tblW w:w="0" w:type="auto"/>
        <w:tblCellSpacing w:w="0" w:type="dxa"/>
        <w:tblCellMar>
          <w:top w:w="100" w:type="dxa"/>
          <w:left w:w="100" w:type="dxa"/>
          <w:bottom w:w="100" w:type="dxa"/>
          <w:right w:w="100" w:type="dxa"/>
        </w:tblCellMar>
        <w:tblLook w:val="0000" w:firstRow="0" w:lastRow="0" w:firstColumn="0" w:lastColumn="0" w:noHBand="0" w:noVBand="0"/>
      </w:tblPr>
      <w:tblGrid>
        <w:gridCol w:w="989"/>
        <w:gridCol w:w="3372"/>
        <w:gridCol w:w="2473"/>
      </w:tblGrid>
      <w:tr w:rsidR="004A6E23" w:rsidRPr="004A6E23">
        <w:trPr>
          <w:tblCellSpacing w:w="0" w:type="dxa"/>
        </w:trPr>
        <w:tc>
          <w:tcPr>
            <w:tcW w:w="0" w:type="auto"/>
            <w:shd w:val="clear" w:color="auto" w:fill="F7F7F7"/>
            <w:vAlign w:val="center"/>
          </w:tcPr>
          <w:p w:rsidR="004A6E23" w:rsidRPr="004A6E23" w:rsidRDefault="004A6E23" w:rsidP="00033C39">
            <w:pPr>
              <w:spacing w:beforeLines="1" w:before="2" w:afterLines="1" w:after="2"/>
              <w:jc w:val="center"/>
              <w:rPr>
                <w:rFonts w:ascii="Times" w:hAnsi="Times" w:cs="Times New Roman"/>
                <w:sz w:val="20"/>
                <w:szCs w:val="20"/>
              </w:rPr>
            </w:pPr>
            <w:r w:rsidRPr="004A6E23">
              <w:rPr>
                <w:rFonts w:ascii="Times" w:hAnsi="Times" w:cs="Times New Roman"/>
                <w:sz w:val="20"/>
                <w:szCs w:val="20"/>
              </w:rPr>
              <w:t>Grade</w:t>
            </w:r>
          </w:p>
        </w:tc>
        <w:tc>
          <w:tcPr>
            <w:tcW w:w="0" w:type="auto"/>
            <w:shd w:val="clear" w:color="auto" w:fill="F7F7F7"/>
            <w:vAlign w:val="center"/>
          </w:tcPr>
          <w:p w:rsidR="004A6E23" w:rsidRPr="004A6E23" w:rsidRDefault="004A6E23" w:rsidP="00033C39">
            <w:pPr>
              <w:spacing w:beforeLines="1" w:before="2" w:afterLines="1" w:after="2"/>
              <w:jc w:val="center"/>
              <w:rPr>
                <w:rFonts w:ascii="Times" w:hAnsi="Times" w:cs="Times New Roman"/>
                <w:sz w:val="20"/>
                <w:szCs w:val="20"/>
              </w:rPr>
            </w:pPr>
            <w:r w:rsidRPr="004A6E23">
              <w:rPr>
                <w:rFonts w:ascii="Times" w:hAnsi="Times" w:cs="Times New Roman"/>
                <w:sz w:val="20"/>
                <w:szCs w:val="20"/>
              </w:rPr>
              <w:t>Text Demand Study 2009</w:t>
            </w:r>
            <w:r w:rsidRPr="004A6E23">
              <w:rPr>
                <w:rFonts w:ascii="Times" w:hAnsi="Times" w:cs="Times New Roman"/>
                <w:sz w:val="20"/>
                <w:szCs w:val="20"/>
              </w:rPr>
              <w:br/>
              <w:t>25th percentile to 75th percentile (IQR)</w:t>
            </w:r>
          </w:p>
        </w:tc>
        <w:tc>
          <w:tcPr>
            <w:tcW w:w="0" w:type="auto"/>
            <w:shd w:val="clear" w:color="auto" w:fill="F7F7F7"/>
            <w:vAlign w:val="center"/>
          </w:tcPr>
          <w:p w:rsidR="004A6E23" w:rsidRPr="004A6E23" w:rsidRDefault="004A6E23" w:rsidP="00033C39">
            <w:pPr>
              <w:spacing w:beforeLines="1" w:before="2" w:afterLines="1" w:after="2"/>
              <w:jc w:val="center"/>
              <w:rPr>
                <w:rFonts w:ascii="Times" w:hAnsi="Times" w:cs="Times New Roman"/>
                <w:sz w:val="20"/>
                <w:szCs w:val="20"/>
              </w:rPr>
            </w:pPr>
            <w:r w:rsidRPr="004A6E23">
              <w:rPr>
                <w:rFonts w:ascii="Times" w:hAnsi="Times" w:cs="Times New Roman"/>
                <w:sz w:val="20"/>
                <w:szCs w:val="20"/>
              </w:rPr>
              <w:t>2012 CCSS Text Measures*</w:t>
            </w:r>
          </w:p>
        </w:tc>
      </w:tr>
      <w:tr w:rsidR="004A6E23" w:rsidRPr="004A6E23">
        <w:trPr>
          <w:tblCellSpacing w:w="0" w:type="dxa"/>
        </w:trPr>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1</w:t>
            </w:r>
          </w:p>
        </w:tc>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230L to 420L</w:t>
            </w:r>
          </w:p>
        </w:tc>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190L to 530L</w:t>
            </w:r>
          </w:p>
        </w:tc>
      </w:tr>
      <w:tr w:rsidR="004A6E23" w:rsidRPr="004A6E23">
        <w:trPr>
          <w:tblCellSpacing w:w="0" w:type="dxa"/>
        </w:trPr>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2</w:t>
            </w:r>
          </w:p>
        </w:tc>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450L to 570L</w:t>
            </w:r>
          </w:p>
        </w:tc>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420L to 650L</w:t>
            </w:r>
          </w:p>
        </w:tc>
      </w:tr>
      <w:tr w:rsidR="004A6E23" w:rsidRPr="004A6E23">
        <w:trPr>
          <w:tblCellSpacing w:w="0" w:type="dxa"/>
        </w:trPr>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3</w:t>
            </w:r>
          </w:p>
        </w:tc>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600L to 730L</w:t>
            </w:r>
          </w:p>
        </w:tc>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520L to 820L</w:t>
            </w:r>
          </w:p>
        </w:tc>
      </w:tr>
      <w:tr w:rsidR="004A6E23" w:rsidRPr="004A6E23">
        <w:trPr>
          <w:tblCellSpacing w:w="0" w:type="dxa"/>
        </w:trPr>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4</w:t>
            </w:r>
          </w:p>
        </w:tc>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640L to780L</w:t>
            </w:r>
          </w:p>
        </w:tc>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740L to 940L</w:t>
            </w:r>
          </w:p>
        </w:tc>
      </w:tr>
      <w:tr w:rsidR="004A6E23" w:rsidRPr="004A6E23">
        <w:trPr>
          <w:tblCellSpacing w:w="0" w:type="dxa"/>
        </w:trPr>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5</w:t>
            </w:r>
          </w:p>
        </w:tc>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730L to 850L</w:t>
            </w:r>
          </w:p>
        </w:tc>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830L to 1010L</w:t>
            </w:r>
          </w:p>
        </w:tc>
      </w:tr>
      <w:tr w:rsidR="004A6E23" w:rsidRPr="004A6E23">
        <w:trPr>
          <w:tblCellSpacing w:w="0" w:type="dxa"/>
        </w:trPr>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6</w:t>
            </w:r>
          </w:p>
        </w:tc>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860L to 920L</w:t>
            </w:r>
          </w:p>
        </w:tc>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925L to 1070L</w:t>
            </w:r>
          </w:p>
        </w:tc>
      </w:tr>
      <w:tr w:rsidR="004A6E23" w:rsidRPr="004A6E23">
        <w:trPr>
          <w:tblCellSpacing w:w="0" w:type="dxa"/>
        </w:trPr>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7</w:t>
            </w:r>
          </w:p>
        </w:tc>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880L to 960L</w:t>
            </w:r>
          </w:p>
        </w:tc>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970L to 1120L</w:t>
            </w:r>
          </w:p>
        </w:tc>
      </w:tr>
      <w:tr w:rsidR="004A6E23" w:rsidRPr="004A6E23">
        <w:trPr>
          <w:tblCellSpacing w:w="0" w:type="dxa"/>
        </w:trPr>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8</w:t>
            </w:r>
          </w:p>
        </w:tc>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900L to 1010L</w:t>
            </w:r>
          </w:p>
        </w:tc>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1010L to 1185L</w:t>
            </w:r>
          </w:p>
        </w:tc>
      </w:tr>
      <w:tr w:rsidR="004A6E23" w:rsidRPr="004A6E23">
        <w:trPr>
          <w:tblCellSpacing w:w="0" w:type="dxa"/>
        </w:trPr>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9</w:t>
            </w:r>
          </w:p>
        </w:tc>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960L to 1110L</w:t>
            </w:r>
          </w:p>
        </w:tc>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1050L to 1260L</w:t>
            </w:r>
          </w:p>
        </w:tc>
      </w:tr>
      <w:tr w:rsidR="004A6E23" w:rsidRPr="004A6E23">
        <w:trPr>
          <w:tblCellSpacing w:w="0" w:type="dxa"/>
        </w:trPr>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10</w:t>
            </w:r>
          </w:p>
        </w:tc>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920L to 1120L</w:t>
            </w:r>
          </w:p>
        </w:tc>
        <w:tc>
          <w:tcPr>
            <w:tcW w:w="0" w:type="auto"/>
            <w:shd w:val="clear" w:color="auto" w:fill="F7F7F7"/>
            <w:vAlign w:val="center"/>
          </w:tcPr>
          <w:p w:rsidR="004A6E23" w:rsidRPr="004A6E23" w:rsidRDefault="004A6E23" w:rsidP="004A6E23">
            <w:pPr>
              <w:jc w:val="center"/>
              <w:rPr>
                <w:rFonts w:ascii="Times" w:hAnsi="Times"/>
                <w:sz w:val="20"/>
                <w:szCs w:val="20"/>
              </w:rPr>
            </w:pPr>
            <w:r w:rsidRPr="004A6E23">
              <w:rPr>
                <w:rFonts w:ascii="Times" w:hAnsi="Times"/>
                <w:sz w:val="20"/>
                <w:szCs w:val="20"/>
              </w:rPr>
              <w:t>1080L to 1335L</w:t>
            </w:r>
          </w:p>
        </w:tc>
      </w:tr>
      <w:tr w:rsidR="004A6E23" w:rsidRPr="004A6E23">
        <w:trPr>
          <w:tblCellSpacing w:w="0" w:type="dxa"/>
        </w:trPr>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11 and 12</w:t>
            </w:r>
          </w:p>
        </w:tc>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1070L to 1220L</w:t>
            </w:r>
          </w:p>
        </w:tc>
        <w:tc>
          <w:tcPr>
            <w:tcW w:w="0" w:type="auto"/>
            <w:shd w:val="clear" w:color="auto" w:fill="auto"/>
            <w:vAlign w:val="center"/>
          </w:tcPr>
          <w:p w:rsidR="004A6E23" w:rsidRPr="004A6E23" w:rsidRDefault="004A6E23" w:rsidP="004A6E23">
            <w:pPr>
              <w:jc w:val="center"/>
              <w:rPr>
                <w:rFonts w:ascii="Times" w:hAnsi="Times"/>
                <w:sz w:val="20"/>
                <w:szCs w:val="20"/>
              </w:rPr>
            </w:pPr>
            <w:r w:rsidRPr="004A6E23">
              <w:rPr>
                <w:rFonts w:ascii="Times" w:hAnsi="Times"/>
                <w:sz w:val="20"/>
                <w:szCs w:val="20"/>
              </w:rPr>
              <w:t>1185L to 1385L</w:t>
            </w:r>
          </w:p>
        </w:tc>
      </w:tr>
    </w:tbl>
    <w:p w:rsidR="004A6E23" w:rsidRPr="004A6E23" w:rsidRDefault="004A6E23" w:rsidP="004A6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4A6E23">
        <w:rPr>
          <w:rFonts w:ascii="Courier" w:hAnsi="Courier" w:cs="Courier"/>
          <w:sz w:val="20"/>
          <w:szCs w:val="20"/>
        </w:rPr>
        <w:t> </w:t>
      </w:r>
    </w:p>
    <w:p w:rsidR="00BA7899" w:rsidRDefault="004A6E23" w:rsidP="00033C39">
      <w:pPr>
        <w:spacing w:beforeLines="1" w:before="2" w:afterLines="1" w:after="2"/>
        <w:rPr>
          <w:rFonts w:ascii="Times" w:hAnsi="Times" w:cs="Times New Roman"/>
          <w:sz w:val="20"/>
          <w:szCs w:val="20"/>
        </w:rPr>
      </w:pPr>
      <w:r w:rsidRPr="004A6E23">
        <w:rPr>
          <w:rFonts w:ascii="Times" w:hAnsi="Times" w:cs="Times New Roman"/>
          <w:sz w:val="20"/>
          <w:szCs w:val="20"/>
        </w:rPr>
        <w:t>*COMMON CORE STATE STANDARDS FOR ENGLISH, LANGUAGE ARTS, APPENDIX A (ADDITIONAL INFORMATION), NGA AND CCSSO, 2012</w:t>
      </w:r>
    </w:p>
    <w:p w:rsidR="00BA7899" w:rsidRDefault="00BA7899" w:rsidP="00033C39">
      <w:pPr>
        <w:spacing w:beforeLines="1" w:before="2" w:afterLines="1" w:after="2"/>
        <w:rPr>
          <w:rFonts w:ascii="Times" w:hAnsi="Times" w:cs="Times New Roman"/>
          <w:sz w:val="20"/>
          <w:szCs w:val="20"/>
        </w:rPr>
      </w:pPr>
    </w:p>
    <w:p w:rsidR="004A6E23" w:rsidRPr="004A6E23" w:rsidRDefault="00BA7899" w:rsidP="00033C39">
      <w:pPr>
        <w:spacing w:beforeLines="1" w:before="2" w:afterLines="1" w:after="2"/>
        <w:rPr>
          <w:rFonts w:ascii="Times" w:hAnsi="Times" w:cs="Times New Roman"/>
          <w:sz w:val="20"/>
          <w:szCs w:val="20"/>
        </w:rPr>
      </w:pPr>
      <w:r>
        <w:t xml:space="preserve">New </w:t>
      </w:r>
      <w:hyperlink r:id="rId6" w:tgtFrame="_blank" w:history="1">
        <w:r>
          <w:rPr>
            <w:rStyle w:val="Hyperlink"/>
          </w:rPr>
          <w:t>research</w:t>
        </w:r>
      </w:hyperlink>
      <w:r>
        <w:t xml:space="preserve"> was released on August 15, 2012 concerning text complexity. The updates refer to the three-part model defined in Appendix A of the </w:t>
      </w:r>
      <w:proofErr w:type="spellStart"/>
      <w:r>
        <w:t>the</w:t>
      </w:r>
      <w:proofErr w:type="spellEnd"/>
      <w:r>
        <w:t xml:space="preserve"> Common Core State Standards for English Language Arts &amp; Literacy in History/Social Studies, Science, and Technical Subjects, which combines the quantitative and qualitative measures of text complexity with reader and task considerations. The goal of the quantitative study was to provide information regarding the variety of ways text complexity can be measured quantitatively and to examine text complexity tools that are valid, transparent, user friendly, and reliable. We continue to update our tools to be aligned to the CCSS. Most recently, we updated the </w:t>
      </w:r>
      <w:proofErr w:type="spellStart"/>
      <w:r>
        <w:t>Lexile</w:t>
      </w:r>
      <w:proofErr w:type="spellEnd"/>
      <w:r>
        <w:t xml:space="preserve"> Map to include CCSS text exemplars and the new CCSS ranges.</w:t>
      </w:r>
    </w:p>
    <w:p w:rsidR="004A6E23" w:rsidRDefault="004A6E23"/>
    <w:sectPr w:rsidR="004A6E23" w:rsidSect="004A6E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23"/>
    <w:rsid w:val="00033C39"/>
    <w:rsid w:val="004A6E23"/>
    <w:rsid w:val="008C7C8F"/>
    <w:rsid w:val="00BA78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7ABA256-6296-47B7-A8AE-C62CBFC5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6E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4A6E23"/>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6E23"/>
    <w:rPr>
      <w:rFonts w:ascii="Times" w:hAnsi="Times"/>
      <w:b/>
      <w:sz w:val="36"/>
      <w:szCs w:val="20"/>
    </w:rPr>
  </w:style>
  <w:style w:type="paragraph" w:styleId="NormalWeb">
    <w:name w:val="Normal (Web)"/>
    <w:basedOn w:val="Normal"/>
    <w:uiPriority w:val="99"/>
    <w:rsid w:val="004A6E23"/>
    <w:pPr>
      <w:spacing w:beforeLines="1" w:afterLines="1"/>
    </w:pPr>
    <w:rPr>
      <w:rFonts w:ascii="Times" w:hAnsi="Times" w:cs="Times New Roman"/>
      <w:sz w:val="20"/>
      <w:szCs w:val="20"/>
    </w:rPr>
  </w:style>
  <w:style w:type="character" w:styleId="Hyperlink">
    <w:name w:val="Hyperlink"/>
    <w:basedOn w:val="DefaultParagraphFont"/>
    <w:uiPriority w:val="99"/>
    <w:rsid w:val="004A6E23"/>
    <w:rPr>
      <w:color w:val="0000FF"/>
      <w:u w:val="single"/>
    </w:rPr>
  </w:style>
  <w:style w:type="paragraph" w:styleId="HTMLPreformatted">
    <w:name w:val="HTML Preformatted"/>
    <w:basedOn w:val="Normal"/>
    <w:link w:val="HTMLPreformattedChar"/>
    <w:uiPriority w:val="99"/>
    <w:rsid w:val="004A6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A6E23"/>
    <w:rPr>
      <w:rFonts w:ascii="Courier" w:hAnsi="Courier" w:cs="Courier"/>
      <w:sz w:val="20"/>
      <w:szCs w:val="20"/>
    </w:rPr>
  </w:style>
  <w:style w:type="character" w:customStyle="1" w:styleId="Heading1Char">
    <w:name w:val="Heading 1 Char"/>
    <w:basedOn w:val="DefaultParagraphFont"/>
    <w:link w:val="Heading1"/>
    <w:uiPriority w:val="9"/>
    <w:rsid w:val="004A6E2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5560">
      <w:bodyDiv w:val="1"/>
      <w:marLeft w:val="0"/>
      <w:marRight w:val="0"/>
      <w:marTop w:val="0"/>
      <w:marBottom w:val="0"/>
      <w:divBdr>
        <w:top w:val="none" w:sz="0" w:space="0" w:color="auto"/>
        <w:left w:val="none" w:sz="0" w:space="0" w:color="auto"/>
        <w:bottom w:val="none" w:sz="0" w:space="0" w:color="auto"/>
        <w:right w:val="none" w:sz="0" w:space="0" w:color="auto"/>
      </w:divBdr>
    </w:div>
    <w:div w:id="1475024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1jt5u2s0h3gkt.cloudfront.net/m/cms_page_media/135/E0813_Appendix_A_New_Research_on_Text_Complexity.pdf" TargetMode="External"/><Relationship Id="rId5" Type="http://schemas.openxmlformats.org/officeDocument/2006/relationships/hyperlink" Target="http://cdn.lexile.com/m/uploads/positionpapers/EducationalReform.pdf" TargetMode="External"/><Relationship Id="rId4" Type="http://schemas.openxmlformats.org/officeDocument/2006/relationships/hyperlink" Target="http://www.corestandards.org/the-standards/english-language-art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Educational Consultant</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Fallanca Reeder</dc:creator>
  <cp:keywords/>
  <cp:lastModifiedBy>Mcqueen, Michelle D</cp:lastModifiedBy>
  <cp:revision>2</cp:revision>
  <dcterms:created xsi:type="dcterms:W3CDTF">2015-12-11T15:17:00Z</dcterms:created>
  <dcterms:modified xsi:type="dcterms:W3CDTF">2015-12-11T15:17:00Z</dcterms:modified>
</cp:coreProperties>
</file>